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FE4A5">
      <w:pPr>
        <w:spacing w:line="311" w:lineRule="auto"/>
        <w:rPr>
          <w:rFonts w:ascii="Arial"/>
          <w:sz w:val="21"/>
        </w:rPr>
      </w:pPr>
    </w:p>
    <w:p w14:paraId="736C730A">
      <w:pPr>
        <w:pStyle w:val="3"/>
        <w:spacing w:before="100" w:line="193" w:lineRule="auto"/>
        <w:ind w:firstLine="1429" w:firstLineChars="400"/>
        <w:outlineLvl w:val="0"/>
        <w:rPr>
          <w:rFonts w:hint="default" w:eastAsia="宋体"/>
          <w:b/>
          <w:bCs/>
          <w:spacing w:val="3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 xml:space="preserve">SEMI-REFINED CARRAGEENAN QILIN </w:t>
      </w:r>
      <w:r>
        <w:rPr>
          <w:rFonts w:hint="eastAsia" w:eastAsia="宋体"/>
          <w:b/>
          <w:bCs/>
          <w:sz w:val="35"/>
          <w:szCs w:val="35"/>
          <w:lang w:val="en-US" w:eastAsia="zh-CN"/>
        </w:rPr>
        <w:t>KS1</w:t>
      </w:r>
      <w:r>
        <w:rPr>
          <w:rFonts w:hint="eastAsia" w:eastAsia="宋体"/>
          <w:b/>
          <w:bCs/>
          <w:spacing w:val="12"/>
          <w:sz w:val="35"/>
          <w:szCs w:val="35"/>
          <w:lang w:val="en-US" w:eastAsia="zh-CN"/>
        </w:rPr>
        <w:t xml:space="preserve"> </w:t>
      </w:r>
    </w:p>
    <w:p w14:paraId="6D71DBB5">
      <w:pPr>
        <w:pStyle w:val="3"/>
        <w:spacing w:before="100" w:line="193" w:lineRule="auto"/>
        <w:ind w:firstLine="2849" w:firstLineChars="800"/>
        <w:outlineLvl w:val="0"/>
        <w:rPr>
          <w:b/>
          <w:bCs/>
          <w:spacing w:val="3"/>
          <w:sz w:val="35"/>
          <w:szCs w:val="35"/>
        </w:rPr>
      </w:pPr>
      <w:r>
        <w:rPr>
          <w:b/>
          <w:bCs/>
          <w:spacing w:val="3"/>
          <w:sz w:val="35"/>
          <w:szCs w:val="35"/>
        </w:rPr>
        <w:t>Food Stabilizer</w:t>
      </w:r>
    </w:p>
    <w:p w14:paraId="7D6EE6D1">
      <w:pPr>
        <w:pStyle w:val="3"/>
        <w:spacing w:before="100" w:line="193" w:lineRule="auto"/>
        <w:ind w:firstLine="3931" w:firstLineChars="1100"/>
        <w:outlineLvl w:val="0"/>
        <w:rPr>
          <w:rFonts w:ascii="Arial"/>
          <w:sz w:val="21"/>
        </w:rPr>
      </w:pP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>TDS</w:t>
      </w:r>
    </w:p>
    <w:p w14:paraId="12F918A3">
      <w:pPr>
        <w:pStyle w:val="3"/>
        <w:spacing w:before="67" w:line="252" w:lineRule="auto"/>
        <w:ind w:left="122" w:right="56"/>
        <w:rPr>
          <w:rFonts w:ascii="Arial"/>
          <w:sz w:val="21"/>
        </w:rPr>
      </w:pPr>
      <w:r>
        <w:rPr>
          <w:spacing w:val="-2"/>
        </w:rPr>
        <w:t>Carrageenan,</w:t>
      </w:r>
      <w:r>
        <w:rPr>
          <w:spacing w:val="23"/>
        </w:rPr>
        <w:t xml:space="preserve"> </w:t>
      </w:r>
      <w:r>
        <w:rPr>
          <w:spacing w:val="-2"/>
        </w:rPr>
        <w:t>is</w:t>
      </w:r>
      <w:r>
        <w:rPr>
          <w:spacing w:val="22"/>
          <w:w w:val="101"/>
        </w:rPr>
        <w:t xml:space="preserve"> </w:t>
      </w:r>
      <w:r>
        <w:rPr>
          <w:spacing w:val="-2"/>
        </w:rPr>
        <w:t>a</w:t>
      </w:r>
      <w:r>
        <w:rPr>
          <w:spacing w:val="29"/>
        </w:rPr>
        <w:t xml:space="preserve"> </w:t>
      </w:r>
      <w:r>
        <w:rPr>
          <w:spacing w:val="-2"/>
        </w:rPr>
        <w:t>mixture</w:t>
      </w:r>
      <w:r>
        <w:rPr>
          <w:spacing w:val="23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2"/>
        </w:rPr>
        <w:t>various</w:t>
      </w:r>
      <w:r>
        <w:rPr>
          <w:spacing w:val="21"/>
          <w:w w:val="101"/>
        </w:rPr>
        <w:t xml:space="preserve"> </w:t>
      </w:r>
      <w:r>
        <w:rPr>
          <w:spacing w:val="-2"/>
        </w:rPr>
        <w:t>sub</w:t>
      </w:r>
      <w:r>
        <w:rPr>
          <w:spacing w:val="-3"/>
        </w:rPr>
        <w:t>stances</w:t>
      </w:r>
      <w:r>
        <w:rPr>
          <w:spacing w:val="18"/>
          <w:w w:val="101"/>
        </w:rPr>
        <w:t xml:space="preserve"> </w:t>
      </w:r>
      <w:r>
        <w:rPr>
          <w:spacing w:val="-3"/>
        </w:rPr>
        <w:t>which</w:t>
      </w:r>
      <w:r>
        <w:rPr>
          <w:spacing w:val="21"/>
          <w:w w:val="101"/>
        </w:rPr>
        <w:t xml:space="preserve"> </w:t>
      </w:r>
      <w:r>
        <w:rPr>
          <w:spacing w:val="-3"/>
        </w:rPr>
        <w:t>are</w:t>
      </w:r>
      <w:r>
        <w:t xml:space="preserve">  </w:t>
      </w:r>
      <w:r>
        <w:rPr>
          <w:spacing w:val="-4"/>
        </w:rPr>
        <w:t>extracted from</w:t>
      </w:r>
      <w:r>
        <w:rPr>
          <w:spacing w:val="16"/>
          <w:w w:val="101"/>
        </w:rPr>
        <w:t xml:space="preserve"> </w:t>
      </w:r>
      <w:r>
        <w:rPr>
          <w:spacing w:val="-4"/>
        </w:rPr>
        <w:t>marine</w:t>
      </w:r>
      <w:r>
        <w:rPr>
          <w:spacing w:val="13"/>
        </w:rPr>
        <w:t xml:space="preserve"> </w:t>
      </w:r>
      <w:r>
        <w:rPr>
          <w:spacing w:val="-4"/>
        </w:rPr>
        <w:t>red</w:t>
      </w:r>
      <w:r>
        <w:rPr>
          <w:spacing w:val="9"/>
        </w:rPr>
        <w:t xml:space="preserve"> </w:t>
      </w:r>
      <w:r>
        <w:rPr>
          <w:spacing w:val="-4"/>
        </w:rPr>
        <w:t>algae, with the</w:t>
      </w:r>
      <w:r>
        <w:rPr>
          <w:spacing w:val="16"/>
        </w:rPr>
        <w:t xml:space="preserve"> </w:t>
      </w:r>
      <w:r>
        <w:rPr>
          <w:spacing w:val="-4"/>
        </w:rPr>
        <w:t xml:space="preserve">results of  </w:t>
      </w:r>
      <w:r>
        <w:rPr>
          <w:rFonts w:ascii="宋体" w:hAnsi="宋体" w:eastAsia="宋体" w:cs="宋体"/>
          <w:spacing w:val="-5"/>
        </w:rPr>
        <w:t>ι</w:t>
      </w:r>
      <w:r>
        <w:rPr>
          <w:spacing w:val="-5"/>
        </w:rPr>
        <w:t>(Iota),</w:t>
      </w:r>
      <w:r>
        <w:rPr>
          <w:spacing w:val="14"/>
          <w:w w:val="101"/>
        </w:rPr>
        <w:t xml:space="preserve"> </w:t>
      </w:r>
      <w:r>
        <w:rPr>
          <w:rFonts w:ascii="宋体" w:hAnsi="宋体" w:eastAsia="宋体" w:cs="宋体"/>
          <w:spacing w:val="-5"/>
        </w:rPr>
        <w:t>κ</w:t>
      </w:r>
      <w:r>
        <w:rPr>
          <w:spacing w:val="-5"/>
        </w:rPr>
        <w:t xml:space="preserve">(Kappa), </w:t>
      </w:r>
      <w:r>
        <w:rPr>
          <w:rFonts w:ascii="宋体" w:hAnsi="宋体" w:eastAsia="宋体" w:cs="宋体"/>
          <w:spacing w:val="-5"/>
        </w:rPr>
        <w:t>λ</w:t>
      </w:r>
      <w:r>
        <w:rPr>
          <w:spacing w:val="-5"/>
        </w:rPr>
        <w:t>(Lamda)</w:t>
      </w:r>
      <w:r>
        <w:rPr>
          <w:spacing w:val="11"/>
        </w:rPr>
        <w:t xml:space="preserve"> </w:t>
      </w:r>
      <w:r>
        <w:rPr>
          <w:spacing w:val="-5"/>
        </w:rPr>
        <w:t>and</w:t>
      </w:r>
      <w:r>
        <w:rPr>
          <w:spacing w:val="12"/>
          <w:w w:val="101"/>
        </w:rPr>
        <w:t xml:space="preserve"> </w:t>
      </w:r>
      <w:r>
        <w:rPr>
          <w:rFonts w:ascii="宋体" w:hAnsi="宋体" w:eastAsia="宋体" w:cs="宋体"/>
          <w:spacing w:val="-5"/>
        </w:rPr>
        <w:t>μ</w:t>
      </w:r>
      <w:r>
        <w:rPr>
          <w:spacing w:val="-5"/>
        </w:rPr>
        <w:t>(mu).</w:t>
      </w:r>
      <w:r>
        <w:t xml:space="preserve"> </w:t>
      </w:r>
      <w:r>
        <w:rPr>
          <w:spacing w:val="-1"/>
        </w:rPr>
        <w:t>By extracting from</w:t>
      </w:r>
      <w:r>
        <w:rPr>
          <w:spacing w:val="18"/>
        </w:rPr>
        <w:t xml:space="preserve"> </w:t>
      </w:r>
      <w:r>
        <w:rPr>
          <w:spacing w:val="-1"/>
        </w:rPr>
        <w:t xml:space="preserve">Indonesian, </w:t>
      </w:r>
      <w:r>
        <w:rPr>
          <w:spacing w:val="18"/>
          <w:w w:val="101"/>
        </w:rPr>
        <w:t xml:space="preserve"> </w:t>
      </w:r>
      <w:r>
        <w:rPr>
          <w:spacing w:val="-1"/>
        </w:rPr>
        <w:t>Kappa Carra</w:t>
      </w:r>
      <w:r>
        <w:rPr>
          <w:spacing w:val="-2"/>
        </w:rPr>
        <w:t>geenan</w:t>
      </w:r>
      <w:r>
        <w:rPr>
          <w:spacing w:val="7"/>
        </w:rPr>
        <w:t xml:space="preserve"> </w:t>
      </w:r>
      <w:r>
        <w:rPr>
          <w:spacing w:val="-2"/>
        </w:rPr>
        <w:t>owns</w:t>
      </w:r>
      <w:r>
        <w:rPr>
          <w:spacing w:val="17"/>
          <w:w w:val="101"/>
        </w:rPr>
        <w:t xml:space="preserve"> </w:t>
      </w:r>
      <w:r>
        <w:rPr>
          <w:spacing w:val="-2"/>
        </w:rPr>
        <w:t>better thickening,</w:t>
      </w:r>
      <w:r>
        <w:rPr>
          <w:rFonts w:hint="eastAsia" w:eastAsia="宋体"/>
          <w:spacing w:val="-2"/>
          <w:lang w:val="en-US" w:eastAsia="zh-CN"/>
        </w:rPr>
        <w:t xml:space="preserve"> </w:t>
      </w:r>
      <w:r>
        <w:rPr>
          <w:spacing w:val="-2"/>
        </w:rPr>
        <w:t>emulsfying</w:t>
      </w:r>
      <w:r>
        <w:rPr>
          <w:spacing w:val="34"/>
        </w:rPr>
        <w:t xml:space="preserve"> </w:t>
      </w:r>
      <w:r>
        <w:rPr>
          <w:spacing w:val="-2"/>
        </w:rPr>
        <w:t>characteristics,</w:t>
      </w:r>
      <w:r>
        <w:rPr>
          <w:spacing w:val="32"/>
          <w:w w:val="101"/>
        </w:rPr>
        <w:t xml:space="preserve"> </w:t>
      </w:r>
      <w:r>
        <w:rPr>
          <w:spacing w:val="-2"/>
        </w:rPr>
        <w:t>elasticity</w:t>
      </w:r>
      <w:r>
        <w:rPr>
          <w:spacing w:val="33"/>
        </w:rPr>
        <w:t xml:space="preserve"> </w:t>
      </w:r>
      <w:r>
        <w:rPr>
          <w:spacing w:val="-2"/>
        </w:rPr>
        <w:t>and</w:t>
      </w:r>
      <w:r>
        <w:rPr>
          <w:spacing w:val="29"/>
          <w:w w:val="101"/>
        </w:rPr>
        <w:t xml:space="preserve"> </w:t>
      </w:r>
      <w:r>
        <w:rPr>
          <w:spacing w:val="-2"/>
        </w:rPr>
        <w:t>water-retaining</w:t>
      </w:r>
      <w:r>
        <w:rPr>
          <w:spacing w:val="41"/>
        </w:rPr>
        <w:t xml:space="preserve"> </w:t>
      </w:r>
      <w:r>
        <w:rPr>
          <w:spacing w:val="-2"/>
        </w:rPr>
        <w:t>property.</w:t>
      </w:r>
      <w:r>
        <w:rPr>
          <w:spacing w:val="40"/>
          <w:w w:val="101"/>
        </w:rPr>
        <w:t xml:space="preserve"> </w:t>
      </w:r>
      <w:r>
        <w:rPr>
          <w:spacing w:val="-2"/>
        </w:rPr>
        <w:t>Even</w:t>
      </w:r>
      <w:r>
        <w:rPr>
          <w:spacing w:val="38"/>
        </w:rPr>
        <w:t xml:space="preserve"> </w:t>
      </w:r>
      <w:r>
        <w:rPr>
          <w:spacing w:val="-2"/>
        </w:rPr>
        <w:t>being</w:t>
      </w:r>
      <w:r>
        <w:rPr>
          <w:spacing w:val="40"/>
          <w:w w:val="101"/>
        </w:rPr>
        <w:t xml:space="preserve"> </w:t>
      </w:r>
      <w:r>
        <w:rPr>
          <w:spacing w:val="-2"/>
        </w:rPr>
        <w:t>boi</w:t>
      </w:r>
      <w:r>
        <w:rPr>
          <w:spacing w:val="-3"/>
        </w:rPr>
        <w:t>led</w:t>
      </w:r>
      <w:r>
        <w:rPr>
          <w:spacing w:val="37"/>
          <w:w w:val="101"/>
        </w:rPr>
        <w:t xml:space="preserve"> </w:t>
      </w:r>
      <w:r>
        <w:rPr>
          <w:spacing w:val="-3"/>
        </w:rPr>
        <w:t>under</w:t>
      </w:r>
      <w:r>
        <w:t xml:space="preserve"> </w:t>
      </w:r>
      <w:r>
        <w:rPr>
          <w:spacing w:val="-2"/>
        </w:rPr>
        <w:t>neutral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4"/>
          <w:w w:val="101"/>
        </w:rPr>
        <w:t xml:space="preserve"> </w:t>
      </w:r>
      <w:r>
        <w:rPr>
          <w:spacing w:val="-2"/>
        </w:rPr>
        <w:t>alkaline</w:t>
      </w:r>
      <w:r>
        <w:rPr>
          <w:spacing w:val="13"/>
          <w:w w:val="101"/>
        </w:rPr>
        <w:t xml:space="preserve"> </w:t>
      </w:r>
      <w:r>
        <w:rPr>
          <w:spacing w:val="-2"/>
        </w:rPr>
        <w:t>condition,</w:t>
      </w:r>
      <w:r>
        <w:rPr>
          <w:spacing w:val="17"/>
          <w:w w:val="101"/>
        </w:rPr>
        <w:t xml:space="preserve"> </w:t>
      </w:r>
      <w:r>
        <w:rPr>
          <w:spacing w:val="-2"/>
        </w:rPr>
        <w:t>it</w:t>
      </w:r>
      <w:r>
        <w:rPr>
          <w:spacing w:val="12"/>
        </w:rPr>
        <w:t xml:space="preserve"> </w:t>
      </w:r>
      <w:r>
        <w:rPr>
          <w:spacing w:val="-2"/>
        </w:rPr>
        <w:t>won't</w:t>
      </w:r>
      <w:r>
        <w:rPr>
          <w:spacing w:val="20"/>
        </w:rPr>
        <w:t xml:space="preserve"> </w:t>
      </w:r>
      <w:r>
        <w:rPr>
          <w:spacing w:val="-2"/>
        </w:rPr>
        <w:t>be</w:t>
      </w:r>
      <w:r>
        <w:rPr>
          <w:spacing w:val="20"/>
          <w:w w:val="101"/>
        </w:rPr>
        <w:t xml:space="preserve"> </w:t>
      </w:r>
      <w:r>
        <w:rPr>
          <w:spacing w:val="-2"/>
        </w:rPr>
        <w:t>hydrolyzed. So</w:t>
      </w:r>
      <w:r>
        <w:rPr>
          <w:spacing w:val="14"/>
        </w:rPr>
        <w:t xml:space="preserve"> </w:t>
      </w:r>
      <w:r>
        <w:rPr>
          <w:spacing w:val="-2"/>
        </w:rPr>
        <w:t>carrageenan</w:t>
      </w:r>
      <w:r>
        <w:rPr>
          <w:spacing w:val="19"/>
        </w:rPr>
        <w:t xml:space="preserve"> </w:t>
      </w:r>
      <w:r>
        <w:rPr>
          <w:spacing w:val="-2"/>
        </w:rPr>
        <w:t>is widely</w:t>
      </w:r>
      <w:r>
        <w:rPr>
          <w:spacing w:val="20"/>
        </w:rPr>
        <w:t xml:space="preserve"> </w:t>
      </w:r>
      <w:r>
        <w:rPr>
          <w:spacing w:val="-2"/>
        </w:rPr>
        <w:t>u</w:t>
      </w:r>
      <w:r>
        <w:rPr>
          <w:spacing w:val="-3"/>
        </w:rPr>
        <w:t>sed</w:t>
      </w:r>
      <w:r>
        <w:rPr>
          <w:spacing w:val="16"/>
          <w:w w:val="101"/>
        </w:rPr>
        <w:t xml:space="preserve"> </w:t>
      </w:r>
      <w:r>
        <w:rPr>
          <w:spacing w:val="-3"/>
        </w:rPr>
        <w:t>in food,</w:t>
      </w:r>
      <w:r>
        <w:t xml:space="preserve"> </w:t>
      </w:r>
      <w:r>
        <w:rPr>
          <w:spacing w:val="-1"/>
        </w:rPr>
        <w:t>medicinal and chemical</w:t>
      </w:r>
      <w:r>
        <w:rPr>
          <w:spacing w:val="15"/>
        </w:rPr>
        <w:t xml:space="preserve"> </w:t>
      </w:r>
      <w:r>
        <w:rPr>
          <w:spacing w:val="-1"/>
        </w:rPr>
        <w:t>ind</w:t>
      </w:r>
      <w:r>
        <w:rPr>
          <w:spacing w:val="-2"/>
        </w:rPr>
        <w:t>ustry.</w:t>
      </w:r>
      <w:bookmarkStart w:id="0" w:name="_GoBack"/>
      <w:bookmarkEnd w:id="0"/>
    </w:p>
    <w:p w14:paraId="04F71DD4">
      <w:pPr>
        <w:pStyle w:val="3"/>
        <w:spacing w:before="68" w:line="257" w:lineRule="auto"/>
        <w:ind w:left="128" w:right="3449"/>
      </w:pPr>
      <w:r>
        <w:rPr>
          <w:b/>
          <w:bCs/>
          <w:spacing w:val="-1"/>
        </w:rPr>
        <w:t>Product Spec</w:t>
      </w:r>
      <w:r>
        <w:rPr>
          <w:spacing w:val="-1"/>
        </w:rPr>
        <w:t>.:</w:t>
      </w:r>
      <w:r>
        <w:rPr>
          <w:spacing w:val="21"/>
        </w:rPr>
        <w:t xml:space="preserve"> </w:t>
      </w:r>
      <w:r>
        <w:rPr>
          <w:spacing w:val="-1"/>
        </w:rPr>
        <w:t>Kappa Semi-refi</w:t>
      </w:r>
      <w:r>
        <w:rPr>
          <w:spacing w:val="-2"/>
        </w:rPr>
        <w:t>ned Carrageenan</w:t>
      </w:r>
      <w:r>
        <w:rPr>
          <w:spacing w:val="16"/>
        </w:rPr>
        <w:t xml:space="preserve"> </w:t>
      </w:r>
    </w:p>
    <w:p w14:paraId="152CD0AC">
      <w:pPr>
        <w:pStyle w:val="3"/>
        <w:spacing w:before="68" w:line="257" w:lineRule="auto"/>
        <w:ind w:left="128" w:right="3449"/>
      </w:pPr>
      <w:r>
        <w:rPr>
          <w:b/>
          <w:bCs/>
          <w:spacing w:val="-2"/>
        </w:rPr>
        <w:t>Raw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2"/>
        </w:rPr>
        <w:t>Material</w:t>
      </w:r>
      <w:r>
        <w:rPr>
          <w:spacing w:val="-2"/>
        </w:rPr>
        <w:t>:</w:t>
      </w:r>
      <w:r>
        <w:rPr>
          <w:spacing w:val="20"/>
          <w:w w:val="101"/>
        </w:rPr>
        <w:t xml:space="preserve"> </w:t>
      </w:r>
      <w:r>
        <w:rPr>
          <w:spacing w:val="-2"/>
        </w:rPr>
        <w:t>Indonesia eucheuma</w:t>
      </w:r>
    </w:p>
    <w:tbl>
      <w:tblPr>
        <w:tblStyle w:val="8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3"/>
        <w:gridCol w:w="4263"/>
      </w:tblGrid>
      <w:tr w14:paraId="53D4F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263" w:type="dxa"/>
            <w:vAlign w:val="top"/>
          </w:tcPr>
          <w:p w14:paraId="36EA9524">
            <w:pPr>
              <w:pStyle w:val="9"/>
              <w:spacing w:before="117" w:line="180" w:lineRule="auto"/>
              <w:ind w:left="111"/>
            </w:pPr>
            <w:r>
              <w:rPr>
                <w:spacing w:val="-1"/>
              </w:rPr>
              <w:t>Appearance</w:t>
            </w:r>
          </w:p>
        </w:tc>
        <w:tc>
          <w:tcPr>
            <w:tcW w:w="4263" w:type="dxa"/>
            <w:vAlign w:val="top"/>
          </w:tcPr>
          <w:p w14:paraId="21DA7298">
            <w:pPr>
              <w:pStyle w:val="9"/>
              <w:spacing w:before="107" w:line="189" w:lineRule="auto"/>
              <w:ind w:left="123"/>
            </w:pPr>
            <w:r>
              <w:rPr>
                <w:spacing w:val="-3"/>
              </w:rPr>
              <w:t>Light yellow to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brown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powder</w:t>
            </w:r>
          </w:p>
        </w:tc>
      </w:tr>
      <w:tr w14:paraId="18DA2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4AF5E7D4">
            <w:pPr>
              <w:pStyle w:val="9"/>
              <w:spacing w:before="76" w:line="192" w:lineRule="auto"/>
              <w:ind w:left="126"/>
            </w:pPr>
            <w:r>
              <w:rPr>
                <w:spacing w:val="-4"/>
              </w:rPr>
              <w:t>Moisture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(%)</w:t>
            </w:r>
          </w:p>
        </w:tc>
        <w:tc>
          <w:tcPr>
            <w:tcW w:w="4263" w:type="dxa"/>
            <w:vAlign w:val="top"/>
          </w:tcPr>
          <w:p w14:paraId="54B20D72">
            <w:pPr>
              <w:pStyle w:val="9"/>
              <w:spacing w:before="89" w:line="181" w:lineRule="auto"/>
              <w:ind w:left="114"/>
            </w:pPr>
            <w:r>
              <w:rPr>
                <w:spacing w:val="-2"/>
              </w:rPr>
              <w:t>≤12.0</w:t>
            </w:r>
          </w:p>
        </w:tc>
      </w:tr>
      <w:tr w14:paraId="155CE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263" w:type="dxa"/>
            <w:vAlign w:val="top"/>
          </w:tcPr>
          <w:p w14:paraId="564C84ED">
            <w:pPr>
              <w:pStyle w:val="9"/>
              <w:spacing w:before="76" w:line="192" w:lineRule="auto"/>
              <w:ind w:left="111"/>
            </w:pPr>
            <w:r>
              <w:rPr>
                <w:spacing w:val="-3"/>
              </w:rPr>
              <w:t>Ash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(%)</w:t>
            </w:r>
          </w:p>
        </w:tc>
        <w:tc>
          <w:tcPr>
            <w:tcW w:w="4263" w:type="dxa"/>
            <w:vAlign w:val="top"/>
          </w:tcPr>
          <w:p w14:paraId="773803FE">
            <w:pPr>
              <w:pStyle w:val="9"/>
              <w:spacing w:before="110" w:line="181" w:lineRule="auto"/>
              <w:ind w:left="123"/>
            </w:pPr>
            <w:r>
              <w:rPr>
                <w:spacing w:val="-4"/>
              </w:rPr>
              <w:t>15~40</w:t>
            </w:r>
          </w:p>
        </w:tc>
      </w:tr>
      <w:tr w14:paraId="34192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63" w:type="dxa"/>
            <w:vAlign w:val="top"/>
          </w:tcPr>
          <w:p w14:paraId="206B7DD9">
            <w:pPr>
              <w:pStyle w:val="9"/>
              <w:spacing w:before="78" w:line="192" w:lineRule="auto"/>
              <w:ind w:left="126"/>
            </w:pPr>
            <w:r>
              <w:rPr>
                <w:spacing w:val="-5"/>
              </w:rPr>
              <w:t>Mesh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(%)</w:t>
            </w:r>
          </w:p>
        </w:tc>
        <w:tc>
          <w:tcPr>
            <w:tcW w:w="4263" w:type="dxa"/>
            <w:vAlign w:val="top"/>
          </w:tcPr>
          <w:p w14:paraId="7DE821CF">
            <w:pPr>
              <w:pStyle w:val="9"/>
              <w:spacing w:before="103" w:line="189" w:lineRule="auto"/>
              <w:ind w:left="113"/>
            </w:pPr>
            <w:r>
              <w:rPr>
                <w:spacing w:val="-4"/>
              </w:rPr>
              <w:t>95%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passed the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120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mesh</w:t>
            </w:r>
          </w:p>
        </w:tc>
      </w:tr>
      <w:tr w14:paraId="1D1C7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263" w:type="dxa"/>
            <w:vAlign w:val="top"/>
          </w:tcPr>
          <w:p w14:paraId="7D66BF5F">
            <w:pPr>
              <w:pStyle w:val="9"/>
              <w:spacing w:before="7" w:line="296" w:lineRule="exact"/>
              <w:ind w:left="115"/>
            </w:pPr>
            <w:r>
              <w:rPr>
                <w:spacing w:val="-2"/>
                <w:position w:val="3"/>
              </w:rPr>
              <w:t>Sulfate (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count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as</w:t>
            </w:r>
            <w:r>
              <w:rPr>
                <w:spacing w:val="9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SO42-)/%</w:t>
            </w:r>
          </w:p>
        </w:tc>
        <w:tc>
          <w:tcPr>
            <w:tcW w:w="4263" w:type="dxa"/>
            <w:vAlign w:val="top"/>
          </w:tcPr>
          <w:p w14:paraId="4BB1DFEA">
            <w:pPr>
              <w:pStyle w:val="9"/>
              <w:spacing w:before="114" w:line="181" w:lineRule="auto"/>
              <w:ind w:left="123"/>
            </w:pPr>
            <w:r>
              <w:rPr>
                <w:spacing w:val="-4"/>
              </w:rPr>
              <w:t>15~40</w:t>
            </w:r>
          </w:p>
        </w:tc>
      </w:tr>
      <w:tr w14:paraId="52D80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263" w:type="dxa"/>
            <w:vAlign w:val="top"/>
          </w:tcPr>
          <w:p w14:paraId="518425C0">
            <w:pPr>
              <w:pStyle w:val="9"/>
              <w:spacing w:before="9" w:line="295" w:lineRule="exact"/>
              <w:ind w:left="111"/>
            </w:pPr>
            <w:r>
              <w:rPr>
                <w:position w:val="3"/>
              </w:rPr>
              <w:t>Viscosity/Pa.s</w:t>
            </w:r>
          </w:p>
        </w:tc>
        <w:tc>
          <w:tcPr>
            <w:tcW w:w="4263" w:type="dxa"/>
            <w:vAlign w:val="top"/>
          </w:tcPr>
          <w:p w14:paraId="17ADFE84">
            <w:pPr>
              <w:pStyle w:val="9"/>
              <w:spacing w:before="116" w:line="181" w:lineRule="auto"/>
              <w:ind w:left="114"/>
            </w:pPr>
            <w:r>
              <w:rPr>
                <w:spacing w:val="-2"/>
              </w:rPr>
              <w:t>≥0.005</w:t>
            </w:r>
          </w:p>
        </w:tc>
      </w:tr>
      <w:tr w14:paraId="60D73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513033CB">
            <w:pPr>
              <w:pStyle w:val="9"/>
              <w:spacing w:before="13" w:line="293" w:lineRule="exact"/>
              <w:ind w:left="126"/>
              <w:rPr>
                <w:rFonts w:ascii="宋体" w:hAnsi="宋体" w:eastAsia="宋体" w:cs="宋体"/>
              </w:rPr>
            </w:pPr>
            <w:r>
              <w:rPr>
                <w:spacing w:val="-2"/>
                <w:position w:val="2"/>
              </w:rPr>
              <w:t>Potassium Gel Strength</w:t>
            </w:r>
            <w:r>
              <w:rPr>
                <w:spacing w:val="29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(g/cm²</w:t>
            </w:r>
            <w:r>
              <w:rPr>
                <w:rFonts w:ascii="宋体" w:hAnsi="宋体" w:eastAsia="宋体" w:cs="宋体"/>
                <w:spacing w:val="-2"/>
                <w:position w:val="2"/>
              </w:rPr>
              <w:t>)</w:t>
            </w:r>
          </w:p>
        </w:tc>
        <w:tc>
          <w:tcPr>
            <w:tcW w:w="4263" w:type="dxa"/>
            <w:vAlign w:val="top"/>
          </w:tcPr>
          <w:p w14:paraId="5F5F265B">
            <w:pPr>
              <w:pStyle w:val="9"/>
              <w:spacing w:before="91" w:line="181" w:lineRule="auto"/>
              <w:ind w:left="114"/>
            </w:pPr>
            <w:r>
              <w:rPr>
                <w:spacing w:val="-2"/>
              </w:rPr>
              <w:t>≥500</w:t>
            </w:r>
          </w:p>
        </w:tc>
      </w:tr>
      <w:tr w14:paraId="68D9D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263" w:type="dxa"/>
            <w:vAlign w:val="top"/>
          </w:tcPr>
          <w:p w14:paraId="7D0C093C">
            <w:pPr>
              <w:pStyle w:val="9"/>
              <w:spacing w:before="94" w:line="180" w:lineRule="auto"/>
              <w:ind w:left="124"/>
            </w:pPr>
            <w:r>
              <w:rPr>
                <w:spacing w:val="-9"/>
              </w:rPr>
              <w:t>pH</w:t>
            </w:r>
          </w:p>
        </w:tc>
        <w:tc>
          <w:tcPr>
            <w:tcW w:w="4263" w:type="dxa"/>
            <w:vAlign w:val="top"/>
          </w:tcPr>
          <w:p w14:paraId="1ACC9194">
            <w:pPr>
              <w:pStyle w:val="9"/>
              <w:spacing w:before="93" w:line="181" w:lineRule="auto"/>
              <w:ind w:left="113"/>
            </w:pPr>
            <w:r>
              <w:rPr>
                <w:spacing w:val="-1"/>
              </w:rPr>
              <w:t>8.0-11.0</w:t>
            </w:r>
          </w:p>
        </w:tc>
      </w:tr>
      <w:tr w14:paraId="25B7C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263" w:type="dxa"/>
            <w:vAlign w:val="top"/>
          </w:tcPr>
          <w:p w14:paraId="6740D975">
            <w:pPr>
              <w:pStyle w:val="9"/>
              <w:spacing w:before="104" w:line="192" w:lineRule="auto"/>
              <w:ind w:left="111"/>
            </w:pPr>
            <w:r>
              <w:rPr>
                <w:spacing w:val="-2"/>
              </w:rPr>
              <w:t>Acid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Insoluble Ash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2"/>
              </w:rPr>
              <w:t>(%)</w:t>
            </w:r>
          </w:p>
        </w:tc>
        <w:tc>
          <w:tcPr>
            <w:tcW w:w="4263" w:type="dxa"/>
            <w:vAlign w:val="top"/>
          </w:tcPr>
          <w:p w14:paraId="295DE678">
            <w:pPr>
              <w:pStyle w:val="9"/>
              <w:spacing w:before="116" w:line="181" w:lineRule="auto"/>
              <w:ind w:left="114"/>
            </w:pPr>
            <w:r>
              <w:rPr>
                <w:spacing w:val="-2"/>
              </w:rPr>
              <w:t>≤1.0</w:t>
            </w:r>
          </w:p>
        </w:tc>
      </w:tr>
      <w:tr w14:paraId="1E681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263" w:type="dxa"/>
            <w:vAlign w:val="top"/>
          </w:tcPr>
          <w:p w14:paraId="46D30502">
            <w:pPr>
              <w:pStyle w:val="9"/>
              <w:spacing w:before="98" w:line="192" w:lineRule="auto"/>
              <w:ind w:left="111"/>
            </w:pPr>
            <w:r>
              <w:rPr>
                <w:spacing w:val="-3"/>
              </w:rPr>
              <w:t>Acid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3"/>
              </w:rPr>
              <w:t>Insoluble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Matter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(%)</w:t>
            </w:r>
          </w:p>
        </w:tc>
        <w:tc>
          <w:tcPr>
            <w:tcW w:w="4263" w:type="dxa"/>
            <w:vAlign w:val="top"/>
          </w:tcPr>
          <w:p w14:paraId="0231D46D">
            <w:pPr>
              <w:pStyle w:val="9"/>
              <w:spacing w:before="110" w:line="181" w:lineRule="auto"/>
              <w:ind w:left="114"/>
            </w:pPr>
            <w:r>
              <w:rPr>
                <w:spacing w:val="-2"/>
              </w:rPr>
              <w:t>≤1.0</w:t>
            </w:r>
          </w:p>
        </w:tc>
      </w:tr>
      <w:tr w14:paraId="3FD4A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3" w:type="dxa"/>
            <w:vAlign w:val="top"/>
          </w:tcPr>
          <w:p w14:paraId="13FCA0B6">
            <w:pPr>
              <w:pStyle w:val="9"/>
              <w:spacing w:before="5" w:line="295" w:lineRule="exact"/>
              <w:ind w:left="126"/>
            </w:pPr>
            <w:r>
              <w:rPr>
                <w:spacing w:val="-3"/>
                <w:position w:val="3"/>
              </w:rPr>
              <w:t>Lead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(mg/kg)</w:t>
            </w:r>
          </w:p>
        </w:tc>
        <w:tc>
          <w:tcPr>
            <w:tcW w:w="4263" w:type="dxa"/>
            <w:vAlign w:val="top"/>
          </w:tcPr>
          <w:p w14:paraId="7AB1A346">
            <w:pPr>
              <w:pStyle w:val="9"/>
              <w:spacing w:before="88" w:line="181" w:lineRule="auto"/>
              <w:ind w:left="114"/>
            </w:pPr>
            <w:r>
              <w:rPr>
                <w:spacing w:val="-2"/>
              </w:rPr>
              <w:t>≤5.0</w:t>
            </w:r>
          </w:p>
        </w:tc>
      </w:tr>
      <w:tr w14:paraId="33B27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1572E4AC">
            <w:pPr>
              <w:pStyle w:val="9"/>
              <w:spacing w:before="8" w:line="295" w:lineRule="exact"/>
              <w:ind w:left="111"/>
            </w:pPr>
            <w:r>
              <w:rPr>
                <w:spacing w:val="-2"/>
                <w:position w:val="3"/>
              </w:rPr>
              <w:t>Arsenic</w:t>
            </w:r>
            <w:r>
              <w:rPr>
                <w:spacing w:val="24"/>
                <w:w w:val="10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(mg/kg)</w:t>
            </w:r>
          </w:p>
        </w:tc>
        <w:tc>
          <w:tcPr>
            <w:tcW w:w="4263" w:type="dxa"/>
            <w:vAlign w:val="top"/>
          </w:tcPr>
          <w:p w14:paraId="4498BF5A">
            <w:pPr>
              <w:pStyle w:val="9"/>
              <w:spacing w:before="91" w:line="181" w:lineRule="auto"/>
              <w:ind w:left="114"/>
            </w:pPr>
            <w:r>
              <w:rPr>
                <w:spacing w:val="-2"/>
              </w:rPr>
              <w:t>≤3.0</w:t>
            </w:r>
          </w:p>
        </w:tc>
      </w:tr>
      <w:tr w14:paraId="2E75A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500CAA8E">
            <w:pPr>
              <w:pStyle w:val="9"/>
              <w:spacing w:before="7" w:line="296" w:lineRule="exact"/>
              <w:ind w:left="118"/>
            </w:pPr>
            <w:r>
              <w:rPr>
                <w:spacing w:val="-1"/>
                <w:position w:val="3"/>
              </w:rPr>
              <w:t>Cadmium (mg/kg)</w:t>
            </w:r>
          </w:p>
        </w:tc>
        <w:tc>
          <w:tcPr>
            <w:tcW w:w="4263" w:type="dxa"/>
            <w:vAlign w:val="top"/>
          </w:tcPr>
          <w:p w14:paraId="3FCF2880">
            <w:pPr>
              <w:pStyle w:val="9"/>
              <w:spacing w:before="90" w:line="181" w:lineRule="auto"/>
              <w:ind w:left="114"/>
            </w:pPr>
            <w:r>
              <w:rPr>
                <w:spacing w:val="-2"/>
              </w:rPr>
              <w:t>≤2.0</w:t>
            </w:r>
          </w:p>
        </w:tc>
      </w:tr>
      <w:tr w14:paraId="57F93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3" w:type="dxa"/>
            <w:vAlign w:val="top"/>
          </w:tcPr>
          <w:p w14:paraId="4BC6DDEE">
            <w:pPr>
              <w:pStyle w:val="9"/>
              <w:spacing w:before="7" w:line="296" w:lineRule="exact"/>
              <w:ind w:left="126"/>
            </w:pPr>
            <w:r>
              <w:rPr>
                <w:spacing w:val="-2"/>
                <w:position w:val="3"/>
              </w:rPr>
              <w:t>Mercury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(mg/kg)</w:t>
            </w:r>
          </w:p>
        </w:tc>
        <w:tc>
          <w:tcPr>
            <w:tcW w:w="4263" w:type="dxa"/>
            <w:vAlign w:val="top"/>
          </w:tcPr>
          <w:p w14:paraId="2C9BC610">
            <w:pPr>
              <w:pStyle w:val="9"/>
              <w:spacing w:before="90" w:line="181" w:lineRule="auto"/>
              <w:ind w:left="114"/>
            </w:pPr>
            <w:r>
              <w:rPr>
                <w:spacing w:val="-2"/>
              </w:rPr>
              <w:t>≤1.0</w:t>
            </w:r>
          </w:p>
        </w:tc>
      </w:tr>
      <w:tr w14:paraId="73E14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3" w:type="dxa"/>
            <w:vAlign w:val="top"/>
          </w:tcPr>
          <w:p w14:paraId="74A9421A">
            <w:pPr>
              <w:pStyle w:val="9"/>
              <w:spacing w:before="8" w:line="295" w:lineRule="exact"/>
              <w:ind w:left="109"/>
            </w:pPr>
            <w:r>
              <w:rPr>
                <w:spacing w:val="-3"/>
                <w:position w:val="3"/>
              </w:rPr>
              <w:t>Total</w:t>
            </w:r>
            <w:r>
              <w:rPr>
                <w:spacing w:val="22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Plate Count</w:t>
            </w:r>
            <w:r>
              <w:rPr>
                <w:spacing w:val="15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(cfu/g)</w:t>
            </w:r>
          </w:p>
        </w:tc>
        <w:tc>
          <w:tcPr>
            <w:tcW w:w="4263" w:type="dxa"/>
            <w:vAlign w:val="top"/>
          </w:tcPr>
          <w:p w14:paraId="1CDC0AA3">
            <w:pPr>
              <w:pStyle w:val="9"/>
              <w:spacing w:before="91" w:line="181" w:lineRule="auto"/>
              <w:ind w:left="114"/>
            </w:pPr>
            <w:r>
              <w:rPr>
                <w:spacing w:val="-2"/>
              </w:rPr>
              <w:t>≤5000</w:t>
            </w:r>
          </w:p>
        </w:tc>
      </w:tr>
      <w:tr w14:paraId="095D9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5710697D">
            <w:pPr>
              <w:pStyle w:val="9"/>
              <w:spacing w:before="8" w:line="296" w:lineRule="exact"/>
              <w:ind w:left="111"/>
            </w:pPr>
            <w:r>
              <w:rPr>
                <w:spacing w:val="-3"/>
                <w:position w:val="3"/>
              </w:rPr>
              <w:t>Yeast and</w:t>
            </w:r>
            <w:r>
              <w:rPr>
                <w:spacing w:val="30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moulds</w:t>
            </w:r>
            <w:r>
              <w:rPr>
                <w:spacing w:val="12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(cfu/g)</w:t>
            </w:r>
          </w:p>
        </w:tc>
        <w:tc>
          <w:tcPr>
            <w:tcW w:w="4263" w:type="dxa"/>
            <w:vAlign w:val="top"/>
          </w:tcPr>
          <w:p w14:paraId="6974DDDF">
            <w:pPr>
              <w:pStyle w:val="9"/>
              <w:spacing w:before="8" w:line="296" w:lineRule="exact"/>
              <w:ind w:left="112"/>
            </w:pPr>
            <w:r>
              <w:rPr>
                <w:spacing w:val="-3"/>
                <w:position w:val="3"/>
              </w:rPr>
              <w:t>&lt;</w:t>
            </w:r>
            <w:r>
              <w:rPr>
                <w:spacing w:val="12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300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cfu/g</w:t>
            </w:r>
          </w:p>
        </w:tc>
      </w:tr>
      <w:tr w14:paraId="525C3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57BB50A7">
            <w:pPr>
              <w:pStyle w:val="9"/>
              <w:spacing w:before="8" w:line="295" w:lineRule="exact"/>
              <w:ind w:left="126"/>
            </w:pPr>
            <w:r>
              <w:rPr>
                <w:spacing w:val="-2"/>
                <w:position w:val="3"/>
              </w:rPr>
              <w:t>E. coli(MPN/g)</w:t>
            </w:r>
          </w:p>
        </w:tc>
        <w:tc>
          <w:tcPr>
            <w:tcW w:w="4263" w:type="dxa"/>
            <w:vAlign w:val="top"/>
          </w:tcPr>
          <w:p w14:paraId="21296895">
            <w:pPr>
              <w:pStyle w:val="9"/>
              <w:spacing w:before="89" w:line="183" w:lineRule="auto"/>
              <w:ind w:left="123"/>
            </w:pPr>
            <w:r>
              <w:rPr>
                <w:spacing w:val="-5"/>
              </w:rPr>
              <w:t>Negative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5"/>
              </w:rPr>
              <w:t>in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5g</w:t>
            </w:r>
          </w:p>
        </w:tc>
      </w:tr>
      <w:tr w14:paraId="7574F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3E4024AD">
            <w:pPr>
              <w:pStyle w:val="9"/>
              <w:spacing w:before="10" w:line="295" w:lineRule="exact"/>
              <w:ind w:left="115"/>
            </w:pPr>
            <w:r>
              <w:rPr>
                <w:spacing w:val="-2"/>
                <w:position w:val="3"/>
              </w:rPr>
              <w:t>Salmonella</w:t>
            </w:r>
            <w:r>
              <w:rPr>
                <w:spacing w:val="23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(/10g)</w:t>
            </w:r>
          </w:p>
        </w:tc>
        <w:tc>
          <w:tcPr>
            <w:tcW w:w="4263" w:type="dxa"/>
            <w:vAlign w:val="top"/>
          </w:tcPr>
          <w:p w14:paraId="5E374CEB">
            <w:pPr>
              <w:pStyle w:val="9"/>
              <w:spacing w:before="91" w:line="183" w:lineRule="auto"/>
              <w:ind w:left="123"/>
            </w:pPr>
            <w:r>
              <w:rPr>
                <w:spacing w:val="-4"/>
              </w:rPr>
              <w:t>Negative</w:t>
            </w:r>
          </w:p>
        </w:tc>
      </w:tr>
      <w:tr w14:paraId="6DBB6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263" w:type="dxa"/>
            <w:vAlign w:val="top"/>
          </w:tcPr>
          <w:p w14:paraId="57FF99B6">
            <w:pPr>
              <w:pStyle w:val="9"/>
              <w:spacing w:before="83" w:line="241" w:lineRule="auto"/>
              <w:ind w:left="122" w:right="103" w:firstLine="4"/>
            </w:pPr>
            <w:r>
              <w:rPr>
                <w:spacing w:val="-2"/>
              </w:rPr>
              <w:t>Methanol,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Propan-2-ol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2"/>
              </w:rPr>
              <w:t>Ethan</w:t>
            </w:r>
            <w:r>
              <w:rPr>
                <w:spacing w:val="-3"/>
              </w:rPr>
              <w:t>ol,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>singly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in total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3"/>
              </w:rPr>
              <w:t>(%)</w:t>
            </w:r>
          </w:p>
        </w:tc>
        <w:tc>
          <w:tcPr>
            <w:tcW w:w="4263" w:type="dxa"/>
            <w:vAlign w:val="top"/>
          </w:tcPr>
          <w:p w14:paraId="294D2879">
            <w:pPr>
              <w:spacing w:line="335" w:lineRule="auto"/>
              <w:rPr>
                <w:rFonts w:ascii="Arial"/>
                <w:sz w:val="21"/>
              </w:rPr>
            </w:pPr>
          </w:p>
          <w:p w14:paraId="384DE039">
            <w:pPr>
              <w:pStyle w:val="9"/>
              <w:spacing w:before="67" w:line="181" w:lineRule="auto"/>
              <w:ind w:left="114"/>
            </w:pPr>
            <w:r>
              <w:rPr>
                <w:spacing w:val="-2"/>
              </w:rPr>
              <w:t>≤0.1</w:t>
            </w:r>
          </w:p>
        </w:tc>
      </w:tr>
    </w:tbl>
    <w:p w14:paraId="462643FB">
      <w:pPr>
        <w:pStyle w:val="3"/>
        <w:spacing w:before="67" w:line="181" w:lineRule="auto"/>
        <w:ind w:left="123"/>
        <w:rPr>
          <w:spacing w:val="-2"/>
        </w:rPr>
      </w:pPr>
    </w:p>
    <w:p w14:paraId="361BD5CC">
      <w:pPr>
        <w:pStyle w:val="3"/>
        <w:spacing w:before="67" w:line="181" w:lineRule="auto"/>
        <w:ind w:left="123"/>
        <w:rPr>
          <w:spacing w:val="-2"/>
        </w:rPr>
      </w:pPr>
      <w:r>
        <w:rPr>
          <w:spacing w:val="-2"/>
        </w:rPr>
        <w:t>CAS#</w:t>
      </w:r>
      <w:r>
        <w:rPr>
          <w:spacing w:val="17"/>
          <w:w w:val="101"/>
        </w:rPr>
        <w:t xml:space="preserve"> </w:t>
      </w:r>
      <w:r>
        <w:rPr>
          <w:spacing w:val="-2"/>
        </w:rPr>
        <w:t>11114-20-8</w:t>
      </w:r>
    </w:p>
    <w:p w14:paraId="4AC60DA9">
      <w:pPr>
        <w:pStyle w:val="3"/>
        <w:spacing w:before="67" w:line="181" w:lineRule="auto"/>
        <w:ind w:left="123"/>
      </w:pPr>
      <w:r>
        <w:rPr>
          <w:spacing w:val="-2"/>
        </w:rPr>
        <w:t>Standard</w:t>
      </w:r>
      <w:r>
        <w:rPr>
          <w:spacing w:val="27"/>
          <w:w w:val="101"/>
        </w:rPr>
        <w:t xml:space="preserve"> </w:t>
      </w:r>
      <w:r>
        <w:rPr>
          <w:spacing w:val="-2"/>
        </w:rPr>
        <w:t>Basis: GB</w:t>
      </w:r>
      <w:r>
        <w:rPr>
          <w:spacing w:val="17"/>
        </w:rPr>
        <w:t xml:space="preserve"> </w:t>
      </w:r>
      <w:r>
        <w:rPr>
          <w:spacing w:val="-2"/>
        </w:rPr>
        <w:t>1886.169-2016</w:t>
      </w:r>
      <w:r>
        <w:t xml:space="preserve"> </w:t>
      </w:r>
      <w:r>
        <w:rPr>
          <w:spacing w:val="-3"/>
        </w:rPr>
        <w:t>Shelf</w:t>
      </w:r>
      <w:r>
        <w:rPr>
          <w:spacing w:val="22"/>
          <w:w w:val="101"/>
        </w:rPr>
        <w:t xml:space="preserve"> </w:t>
      </w:r>
      <w:r>
        <w:rPr>
          <w:spacing w:val="-3"/>
        </w:rPr>
        <w:t>life:</w:t>
      </w:r>
      <w:r>
        <w:rPr>
          <w:spacing w:val="12"/>
        </w:rPr>
        <w:t xml:space="preserve"> </w:t>
      </w:r>
      <w:r>
        <w:rPr>
          <w:spacing w:val="-3"/>
        </w:rPr>
        <w:t>2 years.</w:t>
      </w:r>
    </w:p>
    <w:p w14:paraId="0F683DBB">
      <w:pPr>
        <w:pStyle w:val="3"/>
        <w:spacing w:line="295" w:lineRule="exact"/>
        <w:ind w:left="131"/>
      </w:pPr>
      <w:r>
        <w:rPr>
          <w:spacing w:val="-1"/>
          <w:position w:val="3"/>
        </w:rPr>
        <w:t>Packages:</w:t>
      </w:r>
      <w:r>
        <w:rPr>
          <w:spacing w:val="21"/>
          <w:position w:val="3"/>
        </w:rPr>
        <w:t xml:space="preserve"> </w:t>
      </w:r>
      <w:r>
        <w:rPr>
          <w:spacing w:val="-1"/>
          <w:position w:val="3"/>
        </w:rPr>
        <w:t>1kg/bag ; 25kg/bag/carton.</w:t>
      </w:r>
    </w:p>
    <w:p w14:paraId="613A25E0">
      <w:pPr>
        <w:pStyle w:val="3"/>
        <w:spacing w:before="136" w:line="189" w:lineRule="auto"/>
        <w:ind w:left="131"/>
      </w:pPr>
      <w:r>
        <w:rPr>
          <w:spacing w:val="-2"/>
        </w:rPr>
        <w:t>Free Sample</w:t>
      </w:r>
      <w:r>
        <w:rPr>
          <w:spacing w:val="27"/>
          <w:w w:val="101"/>
        </w:rPr>
        <w:t xml:space="preserve"> </w:t>
      </w:r>
      <w:r>
        <w:rPr>
          <w:spacing w:val="-2"/>
        </w:rPr>
        <w:t>Quantity: 50gram.</w:t>
      </w:r>
    </w:p>
    <w:p w14:paraId="45D2AF8C">
      <w:pPr>
        <w:pStyle w:val="3"/>
        <w:spacing w:before="149" w:line="189" w:lineRule="auto"/>
        <w:ind w:left="131"/>
      </w:pPr>
      <w:r>
        <w:rPr>
          <w:spacing w:val="-4"/>
        </w:rPr>
        <w:t>MOQ:</w:t>
      </w:r>
      <w:r>
        <w:rPr>
          <w:spacing w:val="17"/>
          <w:w w:val="101"/>
        </w:rPr>
        <w:t xml:space="preserve"> </w:t>
      </w:r>
      <w:r>
        <w:rPr>
          <w:spacing w:val="-4"/>
        </w:rPr>
        <w:t>25kg.</w:t>
      </w:r>
    </w:p>
    <w:p w14:paraId="5F3B97F5">
      <w:pPr>
        <w:pStyle w:val="3"/>
        <w:spacing w:before="147" w:line="190" w:lineRule="auto"/>
        <w:ind w:left="131"/>
      </w:pPr>
      <w:r>
        <w:rPr>
          <w:spacing w:val="-1"/>
        </w:rPr>
        <w:t>Delivery days: 7~28days, depending on the</w:t>
      </w:r>
      <w:r>
        <w:rPr>
          <w:spacing w:val="14"/>
        </w:rPr>
        <w:t xml:space="preserve"> </w:t>
      </w:r>
      <w:r>
        <w:rPr>
          <w:spacing w:val="-1"/>
        </w:rPr>
        <w:t>quantities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specifications.</w:t>
      </w:r>
    </w:p>
    <w:p w14:paraId="6B5F3EFC">
      <w:pPr>
        <w:pStyle w:val="3"/>
        <w:spacing w:before="72" w:line="296" w:lineRule="exact"/>
        <w:ind w:left="120"/>
        <w:rPr>
          <w:rFonts w:ascii="Arial"/>
          <w:sz w:val="21"/>
        </w:rPr>
      </w:pPr>
      <w:r>
        <w:rPr>
          <w:spacing w:val="-2"/>
          <w:position w:val="3"/>
        </w:rPr>
        <w:t>Shipment ways:</w:t>
      </w:r>
      <w:r>
        <w:rPr>
          <w:spacing w:val="15"/>
          <w:w w:val="101"/>
          <w:position w:val="3"/>
        </w:rPr>
        <w:t xml:space="preserve"> </w:t>
      </w:r>
      <w:r>
        <w:rPr>
          <w:spacing w:val="-2"/>
          <w:position w:val="3"/>
        </w:rPr>
        <w:t>LCL</w:t>
      </w:r>
      <w:r>
        <w:rPr>
          <w:spacing w:val="16"/>
          <w:position w:val="3"/>
        </w:rPr>
        <w:t xml:space="preserve"> </w:t>
      </w:r>
      <w:r>
        <w:rPr>
          <w:spacing w:val="-2"/>
          <w:position w:val="3"/>
        </w:rPr>
        <w:t>by air/ sea;</w:t>
      </w:r>
      <w:r>
        <w:rPr>
          <w:spacing w:val="11"/>
          <w:position w:val="3"/>
        </w:rPr>
        <w:t xml:space="preserve"> </w:t>
      </w:r>
      <w:r>
        <w:rPr>
          <w:spacing w:val="-2"/>
          <w:position w:val="3"/>
        </w:rPr>
        <w:t>20’40</w:t>
      </w:r>
      <w:r>
        <w:rPr>
          <w:spacing w:val="-3"/>
          <w:position w:val="3"/>
        </w:rPr>
        <w:t>’</w:t>
      </w:r>
      <w:r>
        <w:rPr>
          <w:spacing w:val="-31"/>
          <w:position w:val="3"/>
        </w:rPr>
        <w:t xml:space="preserve"> </w:t>
      </w:r>
      <w:r>
        <w:rPr>
          <w:spacing w:val="-3"/>
          <w:position w:val="3"/>
        </w:rPr>
        <w:t>FCL</w:t>
      </w:r>
      <w:r>
        <w:rPr>
          <w:spacing w:val="13"/>
          <w:w w:val="101"/>
          <w:position w:val="3"/>
        </w:rPr>
        <w:t xml:space="preserve"> </w:t>
      </w:r>
      <w:r>
        <w:rPr>
          <w:spacing w:val="-3"/>
          <w:position w:val="3"/>
        </w:rPr>
        <w:t>by sea.</w:t>
      </w:r>
    </w:p>
    <w:sectPr>
      <w:headerReference r:id="rId5" w:type="default"/>
      <w:pgSz w:w="11906" w:h="16839"/>
      <w:pgMar w:top="400" w:right="952" w:bottom="0" w:left="9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E274D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-454660</wp:posOffset>
          </wp:positionH>
          <wp:positionV relativeFrom="paragraph">
            <wp:posOffset>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</w:t>
    </w:r>
  </w:p>
  <w:p w14:paraId="37FB33BE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sz w:val="28"/>
        <w:szCs w:val="28"/>
      </w:rPr>
      <w:t xml:space="preserve"> </w:t>
    </w:r>
    <w:r>
      <w:rPr>
        <w:rFonts w:hint="eastAsia"/>
        <w:b/>
        <w:bCs/>
        <w:sz w:val="28"/>
        <w:szCs w:val="28"/>
      </w:rPr>
      <w:t>QINGDAO QILIN INFINITE SEA BIOLOGICAL CO., LTD</w:t>
    </w:r>
  </w:p>
  <w:p w14:paraId="1EA8E9CA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1994ABF5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44E5B0C1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2A7CADA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D11C06"/>
    <w:rsid w:val="1FB937AC"/>
    <w:rsid w:val="2D4F4FCD"/>
    <w:rsid w:val="3DC42406"/>
    <w:rsid w:val="649F7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202</Words>
  <Characters>1187</Characters>
  <TotalTime>4</TotalTime>
  <ScaleCrop>false</ScaleCrop>
  <LinksUpToDate>false</LinksUpToDate>
  <CharactersWithSpaces>1342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2024-12-11T16:12:00Z</dcterms:created>
  <dc:creator>Administrator</dc:creator>
  <cp:lastModifiedBy>WPS_1694568985</cp:lastModifiedBy>
  <dcterms:modified xsi:type="dcterms:W3CDTF">2025-03-11T07:37:03Z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2025-03-10T11:41:19Z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DB379A38EBD241D083185FF6780FA90B_12</vt:lpwstr>
  </property>
</Properties>
</file>